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91" w:rsidRPr="0054638B" w:rsidRDefault="001C0891">
      <w:pPr>
        <w:rPr>
          <w:b/>
          <w:bCs/>
          <w:i/>
          <w:iCs/>
        </w:rPr>
      </w:pPr>
      <w:r w:rsidRPr="0054638B">
        <w:rPr>
          <w:b/>
          <w:bCs/>
          <w:i/>
          <w:iCs/>
        </w:rPr>
        <w:t>Note de classe</w:t>
      </w:r>
    </w:p>
    <w:p w:rsidR="001C0891" w:rsidRDefault="001C0891">
      <w:r>
        <w:t xml:space="preserve">Nos voisins au Sud : </w:t>
      </w:r>
    </w:p>
    <w:p w:rsidR="001C0891" w:rsidRDefault="001C0891">
      <w:r>
        <w:t>Différences et similarités</w:t>
      </w:r>
    </w:p>
    <w:p w:rsidR="001C0891" w:rsidRDefault="001C0891" w:rsidP="001C0891">
      <w:pPr>
        <w:rPr>
          <w:lang w:val="fr-FR"/>
        </w:rPr>
      </w:pPr>
      <w:r w:rsidRPr="001C0891">
        <w:rPr>
          <w:lang w:val="fr-FR"/>
        </w:rPr>
        <w:t>-l’immigration</w:t>
      </w:r>
      <w:r>
        <w:rPr>
          <w:lang w:val="fr-FR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C0891" w:rsidTr="001C0891">
        <w:tc>
          <w:tcPr>
            <w:tcW w:w="4315" w:type="dxa"/>
          </w:tcPr>
          <w:p w:rsidR="001C0891" w:rsidRDefault="001C0891" w:rsidP="001C0891">
            <w:r>
              <w:t xml:space="preserve">Canada : </w:t>
            </w:r>
          </w:p>
          <w:p w:rsidR="001C0891" w:rsidRPr="001C0891" w:rsidRDefault="001C0891" w:rsidP="001C0891">
            <w:r w:rsidRPr="001C0891">
              <w:t>Le</w:t>
            </w:r>
            <w:r w:rsidRPr="001C0891">
              <w:t xml:space="preserve"> Canada est </w:t>
            </w:r>
            <w:r w:rsidRPr="001C0891">
              <w:t>considér</w:t>
            </w:r>
            <w:r>
              <w:t>é comme</w:t>
            </w:r>
            <w:r w:rsidRPr="001C0891">
              <w:t xml:space="preserve"> une</w:t>
            </w:r>
            <w:proofErr w:type="gramStart"/>
            <w:r w:rsidRPr="001C0891">
              <w:t xml:space="preserve"> «mosaïque</w:t>
            </w:r>
            <w:proofErr w:type="gramEnd"/>
            <w:r w:rsidRPr="001C0891">
              <w:t>»</w:t>
            </w:r>
          </w:p>
          <w:p w:rsidR="001C0891" w:rsidRDefault="001C0891" w:rsidP="001C0891">
            <w:r w:rsidRPr="001C0891">
              <w:t>On</w:t>
            </w:r>
            <w:r w:rsidRPr="001C0891">
              <w:t xml:space="preserve"> encourage les nouveaux immigrants de garder leur culture tout en devenant des Canadiens</w:t>
            </w:r>
            <w:r>
              <w:t>.</w:t>
            </w:r>
          </w:p>
          <w:p w:rsidR="001C0891" w:rsidRPr="001C0891" w:rsidRDefault="001C0891" w:rsidP="001C0891">
            <w:r>
              <w:t>L’immigration au Canada peut être considéré comme une intégration</w:t>
            </w:r>
          </w:p>
          <w:p w:rsidR="001C0891" w:rsidRDefault="001C0891" w:rsidP="001C0891"/>
        </w:tc>
        <w:tc>
          <w:tcPr>
            <w:tcW w:w="4315" w:type="dxa"/>
          </w:tcPr>
          <w:p w:rsidR="001C0891" w:rsidRDefault="001C0891" w:rsidP="001C0891">
            <w:r>
              <w:t xml:space="preserve">États-Unis : </w:t>
            </w:r>
          </w:p>
          <w:p w:rsidR="001C0891" w:rsidRPr="001C0891" w:rsidRDefault="0054638B" w:rsidP="001C0891">
            <w:r>
              <w:t>L</w:t>
            </w:r>
            <w:r w:rsidR="001C0891" w:rsidRPr="001C0891">
              <w:t xml:space="preserve">es </w:t>
            </w:r>
            <w:r>
              <w:t>É</w:t>
            </w:r>
            <w:r w:rsidR="001C0891" w:rsidRPr="001C0891">
              <w:t xml:space="preserve">tats-Unis sont considérés </w:t>
            </w:r>
            <w:r w:rsidR="001C0891">
              <w:t xml:space="preserve">comme </w:t>
            </w:r>
            <w:r w:rsidR="001C0891" w:rsidRPr="001C0891">
              <w:t>un « creuset » (</w:t>
            </w:r>
            <w:proofErr w:type="spellStart"/>
            <w:r w:rsidR="001C0891" w:rsidRPr="001C0891">
              <w:t>melting</w:t>
            </w:r>
            <w:proofErr w:type="spellEnd"/>
            <w:r w:rsidR="001C0891" w:rsidRPr="001C0891">
              <w:t xml:space="preserve"> pot) on encourage les nouveaux</w:t>
            </w:r>
            <w:r w:rsidR="001C0891">
              <w:t xml:space="preserve"> </w:t>
            </w:r>
            <w:r w:rsidR="001C0891" w:rsidRPr="001C0891">
              <w:t>immigrants de devenir des</w:t>
            </w:r>
          </w:p>
          <w:p w:rsidR="001C0891" w:rsidRDefault="001C0891" w:rsidP="001C0891">
            <w:r w:rsidRPr="001C0891">
              <w:t>« Américains »</w:t>
            </w:r>
            <w:r>
              <w:t>.</w:t>
            </w:r>
          </w:p>
          <w:p w:rsidR="001C0891" w:rsidRPr="001C0891" w:rsidRDefault="001C0891" w:rsidP="001C0891">
            <w:r>
              <w:t xml:space="preserve">L’immigration aux États-Unis favorisent le conformisme à un idéal. </w:t>
            </w:r>
          </w:p>
          <w:p w:rsidR="001C0891" w:rsidRDefault="001C0891" w:rsidP="001C0891"/>
        </w:tc>
      </w:tr>
    </w:tbl>
    <w:p w:rsidR="001C0891" w:rsidRPr="001C0891" w:rsidRDefault="001C0891" w:rsidP="001C0891"/>
    <w:p w:rsidR="001C0891" w:rsidRDefault="001C0891" w:rsidP="001C0891">
      <w:pPr>
        <w:rPr>
          <w:lang w:val="fr-FR"/>
        </w:rPr>
      </w:pPr>
      <w:r w:rsidRPr="001C0891">
        <w:rPr>
          <w:lang w:val="fr-FR"/>
        </w:rPr>
        <w:t>-Système de Santé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4638B" w:rsidTr="0054638B">
        <w:tc>
          <w:tcPr>
            <w:tcW w:w="4315" w:type="dxa"/>
          </w:tcPr>
          <w:p w:rsidR="0054638B" w:rsidRDefault="0054638B" w:rsidP="001C0891">
            <w:r>
              <w:t xml:space="preserve">Canada : </w:t>
            </w:r>
          </w:p>
          <w:p w:rsidR="0054638B" w:rsidRDefault="0054638B" w:rsidP="001C0891">
            <w:r>
              <w:t>Système de santé gratuit.</w:t>
            </w:r>
          </w:p>
        </w:tc>
        <w:tc>
          <w:tcPr>
            <w:tcW w:w="4315" w:type="dxa"/>
          </w:tcPr>
          <w:p w:rsidR="0054638B" w:rsidRDefault="0054638B" w:rsidP="001C0891">
            <w:r>
              <w:t xml:space="preserve">États-Unis : </w:t>
            </w:r>
          </w:p>
          <w:p w:rsidR="0054638B" w:rsidRDefault="0054638B" w:rsidP="001C0891">
            <w:r>
              <w:t xml:space="preserve">Système de santé privé </w:t>
            </w:r>
          </w:p>
        </w:tc>
      </w:tr>
    </w:tbl>
    <w:p w:rsidR="0054638B" w:rsidRPr="001C0891" w:rsidRDefault="0054638B" w:rsidP="001C0891"/>
    <w:p w:rsidR="001C0891" w:rsidRDefault="001C0891" w:rsidP="001C0891">
      <w:pPr>
        <w:rPr>
          <w:lang w:val="fr-FR"/>
        </w:rPr>
      </w:pPr>
      <w:r w:rsidRPr="001C0891">
        <w:rPr>
          <w:lang w:val="fr-FR"/>
        </w:rPr>
        <w:t xml:space="preserve">-Relation Mondiale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4638B" w:rsidTr="0054638B">
        <w:tc>
          <w:tcPr>
            <w:tcW w:w="4315" w:type="dxa"/>
          </w:tcPr>
          <w:p w:rsidR="0054638B" w:rsidRDefault="0054638B" w:rsidP="001C0891">
            <w:r>
              <w:t xml:space="preserve">Canada : </w:t>
            </w:r>
          </w:p>
          <w:p w:rsidR="0054638B" w:rsidRDefault="0054638B" w:rsidP="001C0891">
            <w:r>
              <w:t>Bonne relation avec le restant du monde.</w:t>
            </w:r>
          </w:p>
          <w:p w:rsidR="0054638B" w:rsidRDefault="0054638B" w:rsidP="001C0891">
            <w:r>
              <w:t>Les autres pays ne considèrent pas trop le Canada. Nous ne sommes pas aussi importants que les États-Unis</w:t>
            </w:r>
          </w:p>
        </w:tc>
        <w:tc>
          <w:tcPr>
            <w:tcW w:w="4315" w:type="dxa"/>
          </w:tcPr>
          <w:p w:rsidR="0054638B" w:rsidRDefault="0054638B" w:rsidP="001C0891">
            <w:r>
              <w:t>États-Unis :</w:t>
            </w:r>
          </w:p>
          <w:p w:rsidR="0054638B" w:rsidRDefault="0054638B" w:rsidP="001C0891">
            <w:proofErr w:type="gramStart"/>
            <w:r>
              <w:t>«Power</w:t>
            </w:r>
            <w:proofErr w:type="gramEnd"/>
            <w:r>
              <w:t xml:space="preserve"> house» ,c’est-à-dire un pays très important au niveau mondial. </w:t>
            </w:r>
          </w:p>
          <w:p w:rsidR="0054638B" w:rsidRDefault="0054638B" w:rsidP="001C0891">
            <w:r>
              <w:t>Moins bonne relation avec le restant du monde.</w:t>
            </w:r>
          </w:p>
          <w:p w:rsidR="0054638B" w:rsidRDefault="0054638B" w:rsidP="001C0891">
            <w:r>
              <w:t xml:space="preserve">Ex : Sortir de l’accord sur le climat (l’accord de Paris). </w:t>
            </w:r>
          </w:p>
          <w:p w:rsidR="0054638B" w:rsidRDefault="0054638B" w:rsidP="001C0891">
            <w:r>
              <w:t xml:space="preserve">La conséquence est que les États-Unis sont mal vus par le restant du monde. </w:t>
            </w:r>
          </w:p>
          <w:p w:rsidR="0054638B" w:rsidRDefault="0054638B" w:rsidP="001C0891"/>
        </w:tc>
      </w:tr>
    </w:tbl>
    <w:p w:rsidR="0054638B" w:rsidRPr="001C0891" w:rsidRDefault="0054638B" w:rsidP="001C0891"/>
    <w:p w:rsidR="001C0891" w:rsidRDefault="001C0891" w:rsidP="001C0891">
      <w:pPr>
        <w:rPr>
          <w:lang w:val="fr-FR"/>
        </w:rPr>
      </w:pPr>
      <w:r w:rsidRPr="001C0891">
        <w:rPr>
          <w:lang w:val="fr-FR"/>
        </w:rPr>
        <w:t>-Population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4638B" w:rsidTr="0054638B">
        <w:tc>
          <w:tcPr>
            <w:tcW w:w="4315" w:type="dxa"/>
          </w:tcPr>
          <w:p w:rsidR="0054638B" w:rsidRDefault="0054638B" w:rsidP="001C0891">
            <w:r>
              <w:t xml:space="preserve">Canada : </w:t>
            </w:r>
          </w:p>
          <w:p w:rsidR="0054638B" w:rsidRPr="0054638B" w:rsidRDefault="0054638B" w:rsidP="0054638B">
            <w:r w:rsidRPr="0054638B">
              <w:rPr>
                <w:b/>
                <w:bCs/>
              </w:rPr>
              <w:t>Pop : env. 37 millions</w:t>
            </w:r>
            <w:r w:rsidRPr="0054638B">
              <w:rPr>
                <w:b/>
                <w:bCs/>
              </w:rPr>
              <w:br/>
            </w:r>
            <w:r w:rsidRPr="0054638B">
              <w:t xml:space="preserve">Représente 0.48% de la population mondiale </w:t>
            </w:r>
          </w:p>
          <w:p w:rsidR="0054638B" w:rsidRDefault="0054638B" w:rsidP="001C0891"/>
        </w:tc>
        <w:tc>
          <w:tcPr>
            <w:tcW w:w="4315" w:type="dxa"/>
          </w:tcPr>
          <w:p w:rsidR="0054638B" w:rsidRDefault="0054638B" w:rsidP="001C0891">
            <w:r>
              <w:t>États-Unis :</w:t>
            </w:r>
          </w:p>
          <w:p w:rsidR="0054638B" w:rsidRPr="0054638B" w:rsidRDefault="0054638B" w:rsidP="0054638B">
            <w:r w:rsidRPr="0054638B">
              <w:rPr>
                <w:b/>
                <w:bCs/>
              </w:rPr>
              <w:t>Pop : env. 329 millions</w:t>
            </w:r>
            <w:r w:rsidRPr="0054638B">
              <w:rPr>
                <w:b/>
                <w:bCs/>
              </w:rPr>
              <w:br/>
            </w:r>
            <w:r w:rsidRPr="0054638B">
              <w:t>Représente 4.27% de la population mondiale</w:t>
            </w:r>
          </w:p>
          <w:p w:rsidR="0054638B" w:rsidRDefault="0054638B" w:rsidP="001C0891"/>
        </w:tc>
      </w:tr>
    </w:tbl>
    <w:p w:rsidR="0054638B" w:rsidRDefault="0054638B">
      <w:pPr>
        <w:rPr>
          <w:lang w:val="fr-FR"/>
        </w:rPr>
      </w:pPr>
    </w:p>
    <w:p w:rsidR="0054638B" w:rsidRDefault="0054638B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Mondialisation </w:t>
      </w:r>
    </w:p>
    <w:p w:rsidR="00141F7B" w:rsidRDefault="00141F7B">
      <w:pPr>
        <w:rPr>
          <w:b/>
          <w:bCs/>
          <w:i/>
          <w:iCs/>
          <w:lang w:val="fr-FR"/>
        </w:rPr>
      </w:pPr>
    </w:p>
    <w:p w:rsidR="0054638B" w:rsidRDefault="00141F7B" w:rsidP="009D13D3">
      <w:pPr>
        <w:spacing w:line="360" w:lineRule="auto"/>
        <w:rPr>
          <w:lang w:val="fr-FR"/>
        </w:rPr>
      </w:pPr>
      <w:r w:rsidRPr="00141F7B">
        <w:rPr>
          <w:lang w:val="fr-FR"/>
        </w:rPr>
        <w:t xml:space="preserve">La mondialisation est le </w:t>
      </w:r>
      <w:r w:rsidR="009D13D3">
        <w:rPr>
          <w:rFonts w:eastAsia="Times New Roman" w:cs="Times New Roman"/>
          <w:color w:val="000000"/>
          <w:shd w:val="clear" w:color="auto" w:fill="FFFFFF"/>
          <w:lang w:eastAsia="fr-CA"/>
        </w:rPr>
        <w:t>fait</w:t>
      </w:r>
      <w:r w:rsidRPr="00141F7B"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de devenir répandu à travers le monde entier.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t xml:space="preserve"> Il y a de nombreuses compagnies qui ont franchi le seuil mondial, tandis qu’une grande majorité </w:t>
      </w:r>
      <w:r>
        <w:rPr>
          <w:rFonts w:eastAsia="Times New Roman" w:cs="Times New Roman"/>
          <w:color w:val="000000"/>
          <w:shd w:val="clear" w:color="auto" w:fill="FFFFFF"/>
          <w:lang w:eastAsia="fr-CA"/>
        </w:rPr>
        <w:lastRenderedPageBreak/>
        <w:t xml:space="preserve">peut se retracer aux États-Unis. </w:t>
      </w:r>
      <w:r w:rsidR="0054638B" w:rsidRPr="00141F7B">
        <w:rPr>
          <w:lang w:val="fr-FR"/>
        </w:rPr>
        <w:t xml:space="preserve">Les États-Unis ont aussi une grande influence mondiale. </w:t>
      </w:r>
      <w:r>
        <w:rPr>
          <w:lang w:val="fr-FR"/>
        </w:rPr>
        <w:t>Prenons l’exemple de Mc</w:t>
      </w:r>
      <w:r w:rsidR="009D13D3">
        <w:rPr>
          <w:lang w:val="fr-FR"/>
        </w:rPr>
        <w:t>Donald</w:t>
      </w:r>
      <w:r>
        <w:rPr>
          <w:lang w:val="fr-FR"/>
        </w:rPr>
        <w:t xml:space="preserve"> (une compagnie </w:t>
      </w:r>
      <w:proofErr w:type="gramStart"/>
      <w:r>
        <w:rPr>
          <w:lang w:val="fr-FR"/>
        </w:rPr>
        <w:t>américaine)…</w:t>
      </w:r>
      <w:proofErr w:type="gramEnd"/>
    </w:p>
    <w:p w:rsidR="00141F7B" w:rsidRDefault="00141F7B" w:rsidP="009D13D3">
      <w:pPr>
        <w:spacing w:line="360" w:lineRule="auto"/>
        <w:rPr>
          <w:lang w:val="fr-FR"/>
        </w:rPr>
      </w:pPr>
      <w:r>
        <w:rPr>
          <w:lang w:val="fr-FR"/>
        </w:rPr>
        <w:t>Mc</w:t>
      </w:r>
      <w:r w:rsidR="009D13D3">
        <w:rPr>
          <w:lang w:val="fr-FR"/>
        </w:rPr>
        <w:t>D</w:t>
      </w:r>
      <w:r>
        <w:rPr>
          <w:lang w:val="fr-FR"/>
        </w:rPr>
        <w:t xml:space="preserve">onald’s est répandu sur plus de 100 pays différents. </w:t>
      </w:r>
    </w:p>
    <w:p w:rsidR="00141F7B" w:rsidRDefault="00141F7B" w:rsidP="009D13D3">
      <w:pPr>
        <w:spacing w:line="360" w:lineRule="auto"/>
        <w:rPr>
          <w:lang w:val="fr-FR"/>
        </w:rPr>
      </w:pPr>
      <w:r>
        <w:rPr>
          <w:lang w:val="fr-FR"/>
        </w:rPr>
        <w:t>Mc</w:t>
      </w:r>
      <w:r w:rsidR="009D13D3">
        <w:rPr>
          <w:lang w:val="fr-FR"/>
        </w:rPr>
        <w:t>D</w:t>
      </w:r>
      <w:r>
        <w:rPr>
          <w:lang w:val="fr-FR"/>
        </w:rPr>
        <w:t>onald’s crée aussi différents menus selon leurs régions, c’est-à-dire, au Canada ils vont donner l’option d’acheter de la poutine. (Chine du riz, menu végétarien en Inde, etc</w:t>
      </w:r>
      <w:r w:rsidR="009D13D3">
        <w:rPr>
          <w:lang w:val="fr-FR"/>
        </w:rPr>
        <w:t>.</w:t>
      </w:r>
      <w:r>
        <w:rPr>
          <w:lang w:val="fr-FR"/>
        </w:rPr>
        <w:t>)</w:t>
      </w:r>
    </w:p>
    <w:p w:rsidR="00141F7B" w:rsidRDefault="00141F7B" w:rsidP="009D13D3">
      <w:pPr>
        <w:spacing w:line="360" w:lineRule="auto"/>
        <w:rPr>
          <w:lang w:val="fr-FR"/>
        </w:rPr>
      </w:pPr>
    </w:p>
    <w:p w:rsidR="00141F7B" w:rsidRDefault="00141F7B" w:rsidP="009D13D3">
      <w:pPr>
        <w:spacing w:line="360" w:lineRule="auto"/>
        <w:rPr>
          <w:lang w:val="fr-FR"/>
        </w:rPr>
      </w:pPr>
      <w:r>
        <w:rPr>
          <w:lang w:val="fr-FR"/>
        </w:rPr>
        <w:t xml:space="preserve">Suite : </w:t>
      </w:r>
      <w:r w:rsidR="00F26B90">
        <w:rPr>
          <w:lang w:val="fr-FR"/>
        </w:rPr>
        <w:t>Mondialisation (conséquence)</w:t>
      </w:r>
      <w:bookmarkStart w:id="0" w:name="_GoBack"/>
      <w:bookmarkEnd w:id="0"/>
    </w:p>
    <w:p w:rsidR="00141F7B" w:rsidRDefault="00141F7B" w:rsidP="009D13D3">
      <w:pPr>
        <w:spacing w:line="360" w:lineRule="auto"/>
        <w:rPr>
          <w:lang w:val="fr-FR"/>
        </w:rPr>
      </w:pPr>
      <w:proofErr w:type="spellStart"/>
      <w:r>
        <w:rPr>
          <w:lang w:val="fr-FR"/>
        </w:rPr>
        <w:t>Wallmart</w:t>
      </w:r>
      <w:proofErr w:type="spellEnd"/>
      <w:r>
        <w:rPr>
          <w:lang w:val="fr-FR"/>
        </w:rPr>
        <w:t xml:space="preserve"> (compagnie américaine)</w:t>
      </w:r>
    </w:p>
    <w:p w:rsidR="00141F7B" w:rsidRDefault="00141F7B" w:rsidP="009D13D3">
      <w:pPr>
        <w:spacing w:line="360" w:lineRule="auto"/>
        <w:rPr>
          <w:lang w:val="fr-FR"/>
        </w:rPr>
      </w:pPr>
      <w:r>
        <w:rPr>
          <w:lang w:val="fr-FR"/>
        </w:rPr>
        <w:t xml:space="preserve">Lorsque </w:t>
      </w:r>
      <w:proofErr w:type="spellStart"/>
      <w:r>
        <w:rPr>
          <w:lang w:val="fr-FR"/>
        </w:rPr>
        <w:t>Walmart</w:t>
      </w:r>
      <w:proofErr w:type="spellEnd"/>
      <w:r>
        <w:rPr>
          <w:lang w:val="fr-FR"/>
        </w:rPr>
        <w:t xml:space="preserve"> va s’établir dans une région quelconque</w:t>
      </w:r>
      <w:r w:rsidR="00F26B90">
        <w:rPr>
          <w:lang w:val="fr-FR"/>
        </w:rPr>
        <w:t xml:space="preserve">, </w:t>
      </w:r>
      <w:proofErr w:type="spellStart"/>
      <w:r w:rsidR="00F26B90">
        <w:rPr>
          <w:lang w:val="fr-FR"/>
        </w:rPr>
        <w:t>Walmart</w:t>
      </w:r>
      <w:proofErr w:type="spellEnd"/>
      <w:r w:rsidR="00F26B90">
        <w:rPr>
          <w:lang w:val="fr-FR"/>
        </w:rPr>
        <w:t xml:space="preserve"> va descendre leur prix à un tel point que les compagnies aux alentours ne pourront pas faire l’équivalent. </w:t>
      </w:r>
    </w:p>
    <w:p w:rsidR="00F26B90" w:rsidRDefault="00F26B90" w:rsidP="009D13D3">
      <w:pPr>
        <w:spacing w:line="360" w:lineRule="auto"/>
        <w:rPr>
          <w:lang w:val="fr-FR"/>
        </w:rPr>
      </w:pPr>
      <w:r>
        <w:rPr>
          <w:lang w:val="fr-FR"/>
        </w:rPr>
        <w:t>Ces compagnies ne pourront plus se soutenir financièrement d</w:t>
      </w:r>
      <w:r w:rsidR="009D13D3">
        <w:rPr>
          <w:lang w:val="fr-FR"/>
        </w:rPr>
        <w:t>ues</w:t>
      </w:r>
      <w:r>
        <w:rPr>
          <w:lang w:val="fr-FR"/>
        </w:rPr>
        <w:t xml:space="preserve"> aux prix bas de </w:t>
      </w:r>
      <w:proofErr w:type="spellStart"/>
      <w:r>
        <w:rPr>
          <w:lang w:val="fr-FR"/>
        </w:rPr>
        <w:t>Walmart</w:t>
      </w:r>
      <w:proofErr w:type="spellEnd"/>
      <w:r>
        <w:rPr>
          <w:lang w:val="fr-FR"/>
        </w:rPr>
        <w:t xml:space="preserve">. Donc ils vont fermer leurs portes et </w:t>
      </w:r>
      <w:proofErr w:type="spellStart"/>
      <w:r>
        <w:rPr>
          <w:lang w:val="fr-FR"/>
        </w:rPr>
        <w:t>Walmart</w:t>
      </w:r>
      <w:proofErr w:type="spellEnd"/>
      <w:r>
        <w:rPr>
          <w:lang w:val="fr-FR"/>
        </w:rPr>
        <w:t xml:space="preserve"> va gagner le monopole. Par la suite, lorsque </w:t>
      </w:r>
      <w:proofErr w:type="spellStart"/>
      <w:r>
        <w:rPr>
          <w:lang w:val="fr-FR"/>
        </w:rPr>
        <w:t>Walmart</w:t>
      </w:r>
      <w:proofErr w:type="spellEnd"/>
      <w:r>
        <w:rPr>
          <w:lang w:val="fr-FR"/>
        </w:rPr>
        <w:t xml:space="preserve"> va gagner ce nouveau statut, il va monter leur prix. </w:t>
      </w:r>
    </w:p>
    <w:p w:rsidR="00F26B90" w:rsidRPr="009D13D3" w:rsidRDefault="00F26B90" w:rsidP="009D13D3">
      <w:pPr>
        <w:spacing w:line="360" w:lineRule="auto"/>
        <w:rPr>
          <w:rFonts w:ascii="Times New Roman" w:eastAsia="Times New Roman" w:hAnsi="Times New Roman" w:cs="Times New Roman"/>
          <w:lang w:eastAsia="fr-CA"/>
        </w:rPr>
      </w:pPr>
      <w:r>
        <w:rPr>
          <w:lang w:val="fr-FR"/>
        </w:rPr>
        <w:t xml:space="preserve">Monopole = </w:t>
      </w:r>
      <w:r w:rsidRPr="00F26B9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CA"/>
        </w:rPr>
        <w:t>Situation économique dans laquelle une entreprise a l’exclusivité de la vente d’un produit ou d’un service.</w:t>
      </w:r>
    </w:p>
    <w:p w:rsidR="00141F7B" w:rsidRPr="009D13D3" w:rsidRDefault="00141F7B">
      <w:pPr>
        <w:rPr>
          <w:b/>
          <w:bCs/>
          <w:lang w:val="fr-FR"/>
        </w:rPr>
      </w:pPr>
      <w:r w:rsidRPr="009D13D3">
        <w:rPr>
          <w:b/>
          <w:bCs/>
          <w:lang w:val="fr-FR"/>
        </w:rPr>
        <w:t xml:space="preserve"> </w:t>
      </w:r>
    </w:p>
    <w:p w:rsidR="00141F7B" w:rsidRPr="009D13D3" w:rsidRDefault="00F26B90">
      <w:pPr>
        <w:rPr>
          <w:rFonts w:eastAsia="Times New Roman" w:cs="Times New Roman"/>
          <w:b/>
          <w:bCs/>
          <w:color w:val="000000"/>
          <w:shd w:val="clear" w:color="auto" w:fill="FFFFFF"/>
          <w:lang w:eastAsia="fr-CA"/>
        </w:rPr>
      </w:pPr>
      <w:r w:rsidRPr="009D13D3">
        <w:rPr>
          <w:rFonts w:eastAsia="Times New Roman" w:cs="Times New Roman"/>
          <w:b/>
          <w:bCs/>
          <w:color w:val="000000"/>
          <w:shd w:val="clear" w:color="auto" w:fill="FFFFFF"/>
          <w:lang w:eastAsia="fr-CA"/>
        </w:rPr>
        <w:t>Comment se défendre contre la mondialisation</w:t>
      </w:r>
      <w:r w:rsidR="00C97C7C" w:rsidRPr="009D13D3">
        <w:rPr>
          <w:rFonts w:eastAsia="Times New Roman" w:cs="Times New Roman"/>
          <w:b/>
          <w:bCs/>
          <w:color w:val="000000"/>
          <w:shd w:val="clear" w:color="auto" w:fill="FFFFFF"/>
          <w:lang w:eastAsia="fr-CA"/>
        </w:rPr>
        <w:t xml:space="preserve"> et les influences des États-Unis</w:t>
      </w:r>
      <w:r w:rsidRPr="009D13D3">
        <w:rPr>
          <w:rFonts w:eastAsia="Times New Roman" w:cs="Times New Roman"/>
          <w:b/>
          <w:bCs/>
          <w:color w:val="000000"/>
          <w:shd w:val="clear" w:color="auto" w:fill="FFFFFF"/>
          <w:lang w:eastAsia="fr-CA"/>
        </w:rPr>
        <w:t xml:space="preserve"> : </w:t>
      </w:r>
    </w:p>
    <w:p w:rsidR="00F26B90" w:rsidRDefault="00F26B90">
      <w:pPr>
        <w:rPr>
          <w:rFonts w:eastAsia="Times New Roman" w:cs="Times New Roman"/>
          <w:color w:val="000000"/>
          <w:shd w:val="clear" w:color="auto" w:fill="FFFFFF"/>
          <w:lang w:eastAsia="fr-CA"/>
        </w:rPr>
      </w:pPr>
    </w:p>
    <w:tbl>
      <w:tblPr>
        <w:tblStyle w:val="Grilledutableau"/>
        <w:tblW w:w="11278" w:type="dxa"/>
        <w:tblInd w:w="-1189" w:type="dxa"/>
        <w:tblLook w:val="04A0" w:firstRow="1" w:lastRow="0" w:firstColumn="1" w:lastColumn="0" w:noHBand="0" w:noVBand="1"/>
      </w:tblPr>
      <w:tblGrid>
        <w:gridCol w:w="5639"/>
        <w:gridCol w:w="5639"/>
      </w:tblGrid>
      <w:tr w:rsidR="00F26B90" w:rsidTr="009D13D3">
        <w:trPr>
          <w:trHeight w:val="2252"/>
        </w:trPr>
        <w:tc>
          <w:tcPr>
            <w:tcW w:w="5639" w:type="dxa"/>
          </w:tcPr>
          <w:p w:rsidR="00F26B90" w:rsidRDefault="00F26B90">
            <w:pPr>
              <w:rPr>
                <w:lang w:val="fr-FR"/>
              </w:rPr>
            </w:pPr>
            <w:r>
              <w:rPr>
                <w:lang w:val="fr-FR"/>
              </w:rPr>
              <w:t xml:space="preserve">Tarif, </w:t>
            </w:r>
            <w:r w:rsidR="00C97C7C">
              <w:rPr>
                <w:lang w:val="fr-FR"/>
              </w:rPr>
              <w:t>T</w:t>
            </w:r>
            <w:r>
              <w:rPr>
                <w:lang w:val="fr-FR"/>
              </w:rPr>
              <w:t xml:space="preserve">axes et </w:t>
            </w:r>
            <w:r w:rsidR="00C97C7C">
              <w:rPr>
                <w:lang w:val="fr-FR"/>
              </w:rPr>
              <w:t>D</w:t>
            </w:r>
            <w:r>
              <w:rPr>
                <w:lang w:val="fr-FR"/>
              </w:rPr>
              <w:t xml:space="preserve">roits </w:t>
            </w:r>
          </w:p>
        </w:tc>
        <w:tc>
          <w:tcPr>
            <w:tcW w:w="5639" w:type="dxa"/>
          </w:tcPr>
          <w:p w:rsidR="00F26B90" w:rsidRDefault="00F26B90">
            <w:pPr>
              <w:rPr>
                <w:lang w:val="fr-FR"/>
              </w:rPr>
            </w:pPr>
            <w:r>
              <w:rPr>
                <w:lang w:val="fr-FR"/>
              </w:rPr>
              <w:t xml:space="preserve">Ces derniers vont faire en sorte que les compagnies comme </w:t>
            </w:r>
            <w:proofErr w:type="spellStart"/>
            <w:r>
              <w:rPr>
                <w:lang w:val="fr-FR"/>
              </w:rPr>
              <w:t>Walmart</w:t>
            </w:r>
            <w:proofErr w:type="spellEnd"/>
            <w:r>
              <w:rPr>
                <w:lang w:val="fr-FR"/>
              </w:rPr>
              <w:t xml:space="preserve"> vont payer davantage pour importer leur produit au Canada. Ceci </w:t>
            </w:r>
            <w:r w:rsidR="00C97C7C">
              <w:rPr>
                <w:lang w:val="fr-FR"/>
              </w:rPr>
              <w:t xml:space="preserve">va rendre plus difficile de vendre des produits dans leur magasin à un prix extrêmement bas. </w:t>
            </w:r>
          </w:p>
        </w:tc>
      </w:tr>
      <w:tr w:rsidR="00F26B90" w:rsidTr="009D13D3">
        <w:trPr>
          <w:trHeight w:val="366"/>
        </w:trPr>
        <w:tc>
          <w:tcPr>
            <w:tcW w:w="5639" w:type="dxa"/>
          </w:tcPr>
          <w:p w:rsidR="00F26B90" w:rsidRDefault="00C97C7C">
            <w:pPr>
              <w:rPr>
                <w:lang w:val="fr-FR"/>
              </w:rPr>
            </w:pPr>
            <w:r>
              <w:rPr>
                <w:lang w:val="fr-FR"/>
              </w:rPr>
              <w:t xml:space="preserve">Vitalité de l’identité canadienne </w:t>
            </w:r>
          </w:p>
        </w:tc>
        <w:tc>
          <w:tcPr>
            <w:tcW w:w="5639" w:type="dxa"/>
          </w:tcPr>
          <w:p w:rsidR="00F26B90" w:rsidRDefault="00C97C7C">
            <w:pPr>
              <w:rPr>
                <w:lang w:val="fr-FR"/>
              </w:rPr>
            </w:pPr>
            <w:r>
              <w:rPr>
                <w:lang w:val="fr-FR"/>
              </w:rPr>
              <w:t>L’identité canadienne va toujours être un facteur pour nous défendre contre les influences américaines.</w:t>
            </w:r>
          </w:p>
        </w:tc>
      </w:tr>
      <w:tr w:rsidR="00F26B90" w:rsidTr="009D13D3">
        <w:trPr>
          <w:trHeight w:val="366"/>
        </w:trPr>
        <w:tc>
          <w:tcPr>
            <w:tcW w:w="5639" w:type="dxa"/>
          </w:tcPr>
          <w:p w:rsidR="00F26B90" w:rsidRPr="00C97C7C" w:rsidRDefault="00C97C7C" w:rsidP="00C97C7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Immigration</w:t>
            </w:r>
          </w:p>
        </w:tc>
        <w:tc>
          <w:tcPr>
            <w:tcW w:w="5639" w:type="dxa"/>
          </w:tcPr>
          <w:p w:rsidR="00F26B90" w:rsidRDefault="00C97C7C">
            <w:pPr>
              <w:rPr>
                <w:lang w:val="fr-FR"/>
              </w:rPr>
            </w:pPr>
            <w:r>
              <w:rPr>
                <w:lang w:val="fr-FR"/>
              </w:rPr>
              <w:t>Cette dernière va partie de notre identité puisque nous accueillons un grand nombre d’immigrant</w:t>
            </w:r>
            <w:r w:rsidR="009D13D3">
              <w:rPr>
                <w:lang w:val="fr-FR"/>
              </w:rPr>
              <w:t>s</w:t>
            </w:r>
            <w:r>
              <w:rPr>
                <w:lang w:val="fr-FR"/>
              </w:rPr>
              <w:t>. Ceci nous protège en sorte que nous allons avoir une grande diversité dans le pays.</w:t>
            </w:r>
          </w:p>
        </w:tc>
      </w:tr>
      <w:tr w:rsidR="00F26B90" w:rsidTr="009D13D3">
        <w:trPr>
          <w:trHeight w:val="366"/>
        </w:trPr>
        <w:tc>
          <w:tcPr>
            <w:tcW w:w="5639" w:type="dxa"/>
          </w:tcPr>
          <w:p w:rsidR="00F26B90" w:rsidRPr="00C97C7C" w:rsidRDefault="00C97C7C" w:rsidP="00C97C7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Bilinguisme</w:t>
            </w:r>
          </w:p>
        </w:tc>
        <w:tc>
          <w:tcPr>
            <w:tcW w:w="5639" w:type="dxa"/>
          </w:tcPr>
          <w:p w:rsidR="00F26B90" w:rsidRDefault="00C97C7C">
            <w:pPr>
              <w:rPr>
                <w:lang w:val="fr-FR"/>
              </w:rPr>
            </w:pPr>
            <w:r>
              <w:rPr>
                <w:lang w:val="fr-FR"/>
              </w:rPr>
              <w:t>Propre à notre pays. Nous sommes un pays bilingue et lorsque nous le promouvons</w:t>
            </w:r>
            <w:r w:rsidR="009D13D3">
              <w:rPr>
                <w:lang w:val="fr-FR"/>
              </w:rPr>
              <w:t xml:space="preserve">, nous allons continuer à nous affirmer sur le plan mondial. </w:t>
            </w:r>
          </w:p>
        </w:tc>
      </w:tr>
    </w:tbl>
    <w:p w:rsidR="00141F7B" w:rsidRDefault="00141F7B">
      <w:pPr>
        <w:rPr>
          <w:lang w:val="fr-FR"/>
        </w:rPr>
      </w:pPr>
    </w:p>
    <w:p w:rsidR="00141F7B" w:rsidRDefault="00141F7B">
      <w:pPr>
        <w:rPr>
          <w:lang w:val="fr-FR"/>
        </w:rPr>
      </w:pPr>
    </w:p>
    <w:p w:rsidR="00141F7B" w:rsidRPr="0054638B" w:rsidRDefault="00141F7B"/>
    <w:sectPr w:rsidR="00141F7B" w:rsidRPr="0054638B" w:rsidSect="001B6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A4C95"/>
    <w:multiLevelType w:val="hybridMultilevel"/>
    <w:tmpl w:val="7F3453E8"/>
    <w:lvl w:ilvl="0" w:tplc="E29633F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91"/>
    <w:rsid w:val="00141F7B"/>
    <w:rsid w:val="001B6A32"/>
    <w:rsid w:val="001C0891"/>
    <w:rsid w:val="0054638B"/>
    <w:rsid w:val="009D13D3"/>
    <w:rsid w:val="00C432EA"/>
    <w:rsid w:val="00C97C7C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7E15"/>
  <w15:chartTrackingRefBased/>
  <w15:docId w15:val="{6577EC7D-FA64-B540-AA50-119EC244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tetrault</dc:creator>
  <cp:keywords/>
  <dc:description/>
  <cp:lastModifiedBy>alex tetrault</cp:lastModifiedBy>
  <cp:revision>1</cp:revision>
  <dcterms:created xsi:type="dcterms:W3CDTF">2020-03-19T16:44:00Z</dcterms:created>
  <dcterms:modified xsi:type="dcterms:W3CDTF">2020-03-19T18:59:00Z</dcterms:modified>
</cp:coreProperties>
</file>